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5" w:rsidRDefault="00EB2205" w:rsidP="00EB2205">
      <w:pPr>
        <w:spacing w:after="0"/>
      </w:pPr>
    </w:p>
    <w:p w:rsidR="00EB2205" w:rsidRDefault="00EB2205" w:rsidP="00EB2205">
      <w:pPr>
        <w:spacing w:after="0"/>
      </w:pPr>
    </w:p>
    <w:tbl>
      <w:tblPr>
        <w:tblStyle w:val="Reetkatablice"/>
        <w:tblW w:w="9288" w:type="dxa"/>
        <w:tblInd w:w="108" w:type="dxa"/>
        <w:tblLook w:val="04A0" w:firstRow="1" w:lastRow="0" w:firstColumn="1" w:lastColumn="0" w:noHBand="0" w:noVBand="1"/>
      </w:tblPr>
      <w:tblGrid>
        <w:gridCol w:w="9288"/>
      </w:tblGrid>
      <w:tr w:rsidR="00476ECB" w:rsidRPr="00476ECB" w:rsidTr="003A684B">
        <w:tc>
          <w:tcPr>
            <w:tcW w:w="9288" w:type="dxa"/>
          </w:tcPr>
          <w:p w:rsidR="00476ECB" w:rsidRPr="00476ECB" w:rsidRDefault="00476ECB" w:rsidP="0080336E">
            <w:r w:rsidRPr="00476ECB">
              <w:t xml:space="preserve">Ime </w:t>
            </w:r>
            <w:r>
              <w:t>i prezime nastavnika:</w:t>
            </w:r>
          </w:p>
        </w:tc>
      </w:tr>
      <w:tr w:rsidR="00476ECB" w:rsidRPr="00476ECB" w:rsidTr="003A684B">
        <w:tc>
          <w:tcPr>
            <w:tcW w:w="9288" w:type="dxa"/>
          </w:tcPr>
          <w:p w:rsidR="00476ECB" w:rsidRPr="00476ECB" w:rsidRDefault="00476ECB" w:rsidP="0080336E">
            <w:r w:rsidRPr="00476ECB">
              <w:t>Na</w:t>
            </w:r>
            <w:r>
              <w:t>dnevak:</w:t>
            </w:r>
          </w:p>
        </w:tc>
      </w:tr>
      <w:tr w:rsidR="00476ECB" w:rsidRPr="00476ECB" w:rsidTr="003A684B">
        <w:tc>
          <w:tcPr>
            <w:tcW w:w="9288" w:type="dxa"/>
          </w:tcPr>
          <w:p w:rsidR="00476ECB" w:rsidRPr="00476ECB" w:rsidRDefault="00476ECB" w:rsidP="0080336E">
            <w:r w:rsidRPr="00476ECB">
              <w:t xml:space="preserve"> Nastavni </w:t>
            </w:r>
            <w:r>
              <w:t>predmet:</w:t>
            </w:r>
          </w:p>
        </w:tc>
      </w:tr>
      <w:tr w:rsidR="00476ECB" w:rsidRPr="00476ECB" w:rsidTr="003A684B">
        <w:tc>
          <w:tcPr>
            <w:tcW w:w="9288" w:type="dxa"/>
          </w:tcPr>
          <w:p w:rsidR="00476ECB" w:rsidRPr="00476ECB" w:rsidRDefault="00476ECB" w:rsidP="0080336E">
            <w:proofErr w:type="spellStart"/>
            <w:r>
              <w:t>R.odjel</w:t>
            </w:r>
            <w:proofErr w:type="spellEnd"/>
            <w:r>
              <w:t>:                                                                                     Smjer:</w:t>
            </w:r>
            <w:r w:rsidRPr="00476ECB">
              <w:t xml:space="preserve"> </w:t>
            </w:r>
          </w:p>
        </w:tc>
      </w:tr>
      <w:tr w:rsidR="00476ECB" w:rsidRPr="00476ECB" w:rsidTr="003A684B">
        <w:tc>
          <w:tcPr>
            <w:tcW w:w="9288" w:type="dxa"/>
          </w:tcPr>
          <w:p w:rsidR="00476ECB" w:rsidRPr="00476ECB" w:rsidRDefault="00476ECB" w:rsidP="0080336E">
            <w:r w:rsidRPr="00476ECB">
              <w:t xml:space="preserve"> Re</w:t>
            </w:r>
            <w:r>
              <w:t>dni broj sata:</w:t>
            </w:r>
          </w:p>
        </w:tc>
      </w:tr>
    </w:tbl>
    <w:p w:rsidR="005F2D20" w:rsidRDefault="005F2D20" w:rsidP="00EB2205">
      <w:pPr>
        <w:spacing w:after="0"/>
      </w:pPr>
      <w:r>
        <w:t xml:space="preserve"> </w:t>
      </w:r>
    </w:p>
    <w:p w:rsidR="005F2D20" w:rsidRDefault="005F2D20" w:rsidP="00476ECB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r w:rsidRPr="00EB2205">
        <w:rPr>
          <w:b/>
          <w:sz w:val="32"/>
          <w:szCs w:val="32"/>
          <w:u w:val="single"/>
        </w:rPr>
        <w:t>Elementi praćenja nastavnog sata: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75EE" w:rsidRPr="008975EE" w:rsidTr="008975EE">
        <w:tc>
          <w:tcPr>
            <w:tcW w:w="9288" w:type="dxa"/>
          </w:tcPr>
          <w:p w:rsidR="008975EE" w:rsidRDefault="00FC37C3" w:rsidP="00BC1B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Nastavna jedinica ili tema</w:t>
            </w:r>
          </w:p>
          <w:p w:rsidR="00FC37C3" w:rsidRPr="008975EE" w:rsidRDefault="00FC37C3" w:rsidP="00BC1B0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1</w:t>
            </w:r>
            <w:r w:rsidRPr="008975EE">
              <w:rPr>
                <w:b/>
              </w:rPr>
              <w:t>. Pismena priprava</w:t>
            </w:r>
            <w:r w:rsidRPr="008975EE">
              <w:t xml:space="preserve"> sadrži: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FC37C3" w:rsidP="00FC37C3">
            <w:r>
              <w:t>a)jasno utvrđene ishode učenja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b) zadatke koji ukazuju na konkretne sadržaje  i aktivnost učenika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  <w:r w:rsidR="00FC37C3">
              <w:t>c) izbor metoda ,nastavnih sredstava i strategija učenja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FC37C3" w:rsidP="00BC1B04">
            <w:r>
              <w:t>d) neke oblike vrednovanja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2. U postizanju bolje motivacije učenika nastavnik </w:t>
            </w:r>
            <w:r w:rsidRPr="008975EE">
              <w:rPr>
                <w:b/>
              </w:rPr>
              <w:t>koristi sociološke oblike rada</w:t>
            </w:r>
            <w:r w:rsidRPr="008975EE">
              <w:t>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rad u paru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b) grupni rad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timski rad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d) frontalni oblik rada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individualni rad s učenikom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>
              <w:t xml:space="preserve"> f)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FC37C3" w:rsidP="00BC1B04">
            <w:r>
              <w:t xml:space="preserve"> 3. Nastavnik se služi</w:t>
            </w:r>
            <w:r w:rsidR="008975EE" w:rsidRPr="008975EE">
              <w:t xml:space="preserve"> sljedećim </w:t>
            </w:r>
            <w:r w:rsidR="008975EE" w:rsidRPr="008975EE">
              <w:rPr>
                <w:b/>
              </w:rPr>
              <w:t>nastavnim metodama</w:t>
            </w:r>
            <w:r w:rsidR="008975EE" w:rsidRPr="008975EE">
              <w:t>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metoda demonstracije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b) metoda praktičnih radova, simulacije i sl.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metoda crtanja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d) metoda pisanja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e) metoda čitanja i rada na tekstu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f) metoda razgovora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g) metoda usmenog izlaganja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h) učenički seminari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i) pedagoška radionica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>
              <w:t xml:space="preserve"> j)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FC37C3" w:rsidP="00BC1B04">
            <w:r>
              <w:t>4.  Nastavnik se služi</w:t>
            </w:r>
            <w:r w:rsidR="008975EE" w:rsidRPr="008975EE">
              <w:t xml:space="preserve"> sljedećim </w:t>
            </w:r>
            <w:r w:rsidR="008975EE" w:rsidRPr="008975EE">
              <w:rPr>
                <w:b/>
              </w:rPr>
              <w:t>nastavnim sredstvima</w:t>
            </w:r>
            <w:r w:rsidR="008975EE" w:rsidRPr="008975EE">
              <w:t xml:space="preserve">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a)  ploča i kreda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 LCD projektor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 stvarni predmeti i modeli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d)  projekti, makete, sheme spojeva…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 pametna ploča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f)  </w:t>
            </w:r>
            <w:r>
              <w:t xml:space="preserve"> </w:t>
            </w:r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</w:rPr>
            </w:pPr>
            <w:r w:rsidRPr="008975EE">
              <w:rPr>
                <w:b/>
              </w:rPr>
              <w:t xml:space="preserve">5. Poučavanje </w:t>
            </w:r>
            <w:proofErr w:type="spellStart"/>
            <w:r w:rsidRPr="008975EE">
              <w:rPr>
                <w:b/>
              </w:rPr>
              <w:t>metakognitivnih</w:t>
            </w:r>
            <w:proofErr w:type="spellEnd"/>
            <w:r w:rsidRPr="008975EE">
              <w:rPr>
                <w:b/>
              </w:rPr>
              <w:t xml:space="preserve"> vještina i strategije učenja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a) Nastavnik stavlja naglasak na razumijevanje, a ne samo na zapamćivanje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lastRenderedPageBreak/>
              <w:t>b) Postavlja pitanja koja potiču na razmišljanje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c) Poučava učenike kako pristupiti učenju, rješavanju problema, vježbanju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d) Potiče učenike da vlastitim riječima iskažu kako su razumjeli sadržaj koji uče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Traži od učenika da p</w:t>
            </w:r>
            <w:r w:rsidR="00FC37C3">
              <w:t xml:space="preserve">ojašnjavaju korake koje koriste </w:t>
            </w:r>
            <w:r w:rsidRPr="008975EE">
              <w:t>u rješavanju zadatka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u w:val="single"/>
              </w:rPr>
            </w:pPr>
            <w:r w:rsidRPr="008975EE">
              <w:t>f</w:t>
            </w:r>
            <w:r w:rsidRPr="008975EE">
              <w:rPr>
                <w:u w:val="single"/>
              </w:rPr>
              <w:t>) Traži od učenika da procjene vlastiti rad i napredovanje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g)Povezuje nastavne sadržaje sa prijašnjim iskustvom i svakodnevnim životom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h) Potiče povezivanje sadržaja različitih predmeta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</w:rPr>
            </w:pP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6</w:t>
            </w:r>
            <w:r w:rsidRPr="008975EE">
              <w:rPr>
                <w:b/>
              </w:rPr>
              <w:t>. Kvalitetu učenikova znanja, vještina, umijeća</w:t>
            </w:r>
            <w:r w:rsidRPr="008975EE">
              <w:t xml:space="preserve"> postiže: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kombiniranjem različitih metoda rada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b) većom individualizacijom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kontinuiranim vrednovanjem postignuća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d) jasnim naglaskom na sadržaje za provjeru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e) unaprijed postavljenim kriterijima ocjenjivanja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7.  </w:t>
            </w:r>
            <w:r w:rsidRPr="008975EE">
              <w:rPr>
                <w:b/>
              </w:rPr>
              <w:t>Motivaciju na početku sata</w:t>
            </w:r>
            <w:r w:rsidRPr="008975EE">
              <w:t xml:space="preserve"> postiže: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usmenim isp</w:t>
            </w:r>
            <w:r w:rsidR="00FC37C3">
              <w:t xml:space="preserve">itivanjem jednog  ili </w:t>
            </w:r>
            <w:proofErr w:type="spellStart"/>
            <w:r w:rsidR="00FC37C3">
              <w:t>više</w:t>
            </w:r>
            <w:r w:rsidRPr="008975EE">
              <w:t>učenika</w:t>
            </w:r>
            <w:proofErr w:type="spellEnd"/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kratkom pisano</w:t>
            </w:r>
            <w:r w:rsidR="00FC37C3">
              <w:t xml:space="preserve">m provjerom znanja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c) ocjenjivanjem prezentiranih učeničkih uradaka (seminar, PPT, …)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d) postavljanjem problemske situacije i kratkom diskusijom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uvidom u domaći uradak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f)  uvidom u praktični rad i skice/nacrte/sheme…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>
              <w:t xml:space="preserve">  g) </w:t>
            </w:r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  <w:u w:val="single"/>
              </w:rPr>
            </w:pP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  <w:u w:val="single"/>
              </w:rPr>
            </w:pPr>
            <w:r w:rsidRPr="008975EE">
              <w:rPr>
                <w:b/>
                <w:u w:val="single"/>
              </w:rPr>
              <w:t>8.Povratne informacije i formativno vrednovanje učenja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FC37C3" w:rsidP="00BC1B04">
            <w:r>
              <w:t xml:space="preserve"> a)</w:t>
            </w:r>
            <w:r w:rsidR="008975EE" w:rsidRPr="008975EE">
              <w:t xml:space="preserve"> Nastavnik postavlja pitanja kojima provjerava razumijevanje učenika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Nastavnik pruža konkretne povratne informacije učenicima o njihovom radu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c) Nastavnik na konkretnim primjerima objašnjava svoje kriterije vrednovanja rada i postignuća učenika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d) Nastavnik ističe napredovanje učenika i njihov uspjeh u učenju ( ne njihove nedostatke).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</w:rPr>
            </w:pPr>
            <w:r w:rsidRPr="008975EE">
              <w:rPr>
                <w:b/>
              </w:rPr>
              <w:t xml:space="preserve">9. Individualizacija i diferencijacija poučavanja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a) Nastavnik učenicima različitih sposobnosti ili interesa daje zadatke različite težine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Nastavnik nekim učenicima daje dodatne upute, pojašnjenja ili dodatno vrijeme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c) Nastavnik ponovo ili na drugačiji način pojašnjava ako dio učenika ne razumije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d) Nastavnik daje dovoljno vremena učenicima da odgovore na postavljeno pitanje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Nastavnik daje mogućnost izbora aktivnosti i načina rada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f) Nastavnik uključuje učenike koji se sami ne javljaju ili ne sudjeluju u aktivnostima na satu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10. Nastavnik upućuje učenike na </w:t>
            </w:r>
            <w:r w:rsidRPr="008975EE">
              <w:rPr>
                <w:b/>
              </w:rPr>
              <w:t>obvezne i  neobvezne sadržaje</w:t>
            </w:r>
            <w:r w:rsidRPr="008975EE">
              <w:t>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korištenjem udžbenika, RB  i sl.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selektiranjem sadržaja tijekom sata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usmjeravanjem na ostale izvore znanja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>
              <w:t>d)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e) ne upućuje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11. </w:t>
            </w:r>
            <w:r w:rsidRPr="008975EE">
              <w:rPr>
                <w:b/>
              </w:rPr>
              <w:t>Zapis na školskoj ploči</w:t>
            </w:r>
            <w:r w:rsidR="00FC37C3">
              <w:t xml:space="preserve"> </w:t>
            </w:r>
            <w:r w:rsidRPr="008975EE">
              <w:t xml:space="preserve"> je: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a) shematski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s istaknutim ključnim pojmovima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lastRenderedPageBreak/>
              <w:t xml:space="preserve"> c) vizualno jasan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d) scenarij nastavnog sata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e) nefunkcionalan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f) nije ga bilo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12. </w:t>
            </w:r>
            <w:r w:rsidRPr="008975EE">
              <w:rPr>
                <w:b/>
              </w:rPr>
              <w:t>Domaći uradak je zadan</w:t>
            </w:r>
            <w:r w:rsidRPr="008975EE">
              <w:t>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a) kao refleksija nastavnog sata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učenici su sami predložili domaći uradak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c) bez veće povezanosti s nastavnim sadržajem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d) nije zadan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rPr>
                <w:b/>
              </w:rPr>
            </w:pPr>
            <w:r w:rsidRPr="008975EE">
              <w:t xml:space="preserve">13. </w:t>
            </w:r>
            <w:r w:rsidRPr="008975EE">
              <w:rPr>
                <w:b/>
              </w:rPr>
              <w:t>Razredno ozračje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a) Nastavnik se prema učenicima odnosi s poštovanjem i prihvaćanjem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b) U razredu vlada opušteno ozračje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c) Nastavnik pohvaljuje trud učenika i njihova postignuća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d) Nastavnik ima dobru neverbalnu komunikaciju s učenicima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e) Nastavnik u nastavi koristi primjeren humor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f) Nastavnik učinkovito reagira na neprihvatljivo ponašanje ( ometanje nastave)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>
              <w:t>d)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14. Nastavnikov nastup je (podcrtati): 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siguran - nesiguran  dinamičan - monoton  poticajan - nepoticajan  motivirajući – </w:t>
            </w:r>
            <w:proofErr w:type="spellStart"/>
            <w:r>
              <w:t>nemotivirajući</w:t>
            </w:r>
            <w:proofErr w:type="spellEnd"/>
            <w:r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15. Realizacija očekivanih zadaća za učenike: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a) u potpunosti b) djelomična c) uočena, ali nedostatna d) nije uočena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16. PROCJENA (STRUČNE ODREDNICE)           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 Nastavnikova </w:t>
            </w:r>
            <w:proofErr w:type="spellStart"/>
            <w:r w:rsidRPr="008975EE">
              <w:t>samoprocjena</w:t>
            </w:r>
            <w:proofErr w:type="spellEnd"/>
            <w:r w:rsidRPr="008975EE">
              <w:t xml:space="preserve"> održanog sata: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pBdr>
                <w:bottom w:val="single" w:sz="12" w:space="1" w:color="auto"/>
              </w:pBdr>
            </w:pP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pPr>
              <w:pBdr>
                <w:bottom w:val="single" w:sz="12" w:space="1" w:color="auto"/>
              </w:pBdr>
            </w:pPr>
            <w:r w:rsidRPr="008975EE">
              <w:t xml:space="preserve">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 Procjena stručnog suradnika :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__________________________________________________________________________________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/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29.  Područja na kojima je potrebno dodatno poraditi: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8975EE" w:rsidRPr="008975EE" w:rsidTr="008975EE">
        <w:tc>
          <w:tcPr>
            <w:tcW w:w="9288" w:type="dxa"/>
          </w:tcPr>
          <w:p w:rsidR="008975EE" w:rsidRPr="008975EE" w:rsidRDefault="008975EE" w:rsidP="00BC1B04">
            <w:r w:rsidRPr="008975EE">
              <w:t>__________________________________________________________________________________</w:t>
            </w:r>
          </w:p>
        </w:tc>
      </w:tr>
    </w:tbl>
    <w:p w:rsidR="003451F5" w:rsidRDefault="003451F5" w:rsidP="00EB2205">
      <w:pPr>
        <w:spacing w:after="0"/>
      </w:pPr>
    </w:p>
    <w:p w:rsidR="003451F5" w:rsidRDefault="008975EE" w:rsidP="00EB2205">
      <w:pPr>
        <w:spacing w:after="0"/>
      </w:pPr>
      <w:r>
        <w:t>Potpis nastavnika: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stručnog suradnika:</w:t>
      </w:r>
    </w:p>
    <w:bookmarkEnd w:id="0"/>
    <w:p w:rsidR="003451F5" w:rsidRDefault="003451F5" w:rsidP="00EB2205">
      <w:pPr>
        <w:spacing w:after="0"/>
      </w:pPr>
    </w:p>
    <w:p w:rsidR="00036D14" w:rsidRDefault="005F2D20" w:rsidP="005F2D20">
      <w:r>
        <w:t xml:space="preserve">                                                                                                        </w:t>
      </w:r>
    </w:p>
    <w:sectPr w:rsidR="00036D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E9" w:rsidRDefault="009A27E9" w:rsidP="00EB2205">
      <w:pPr>
        <w:spacing w:after="0" w:line="240" w:lineRule="auto"/>
      </w:pPr>
      <w:r>
        <w:separator/>
      </w:r>
    </w:p>
  </w:endnote>
  <w:endnote w:type="continuationSeparator" w:id="0">
    <w:p w:rsidR="009A27E9" w:rsidRDefault="009A27E9" w:rsidP="00E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E9" w:rsidRDefault="009A27E9" w:rsidP="00EB2205">
      <w:pPr>
        <w:spacing w:after="0" w:line="240" w:lineRule="auto"/>
      </w:pPr>
      <w:r>
        <w:separator/>
      </w:r>
    </w:p>
  </w:footnote>
  <w:footnote w:type="continuationSeparator" w:id="0">
    <w:p w:rsidR="009A27E9" w:rsidRDefault="009A27E9" w:rsidP="00E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05" w:rsidRDefault="00EB2205">
    <w:pPr>
      <w:pStyle w:val="Zaglavlje"/>
    </w:pPr>
    <w:r>
      <w:t>Elektrotehnička i ekonomska škola Nova Gradiška</w:t>
    </w:r>
  </w:p>
  <w:p w:rsidR="00EB2205" w:rsidRDefault="00EB220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4C36"/>
    <w:multiLevelType w:val="hybridMultilevel"/>
    <w:tmpl w:val="61A209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41052"/>
    <w:multiLevelType w:val="hybridMultilevel"/>
    <w:tmpl w:val="3C8E8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20"/>
    <w:rsid w:val="00036D14"/>
    <w:rsid w:val="00054901"/>
    <w:rsid w:val="00252CBD"/>
    <w:rsid w:val="003451F5"/>
    <w:rsid w:val="003624E0"/>
    <w:rsid w:val="00397FF4"/>
    <w:rsid w:val="003A684B"/>
    <w:rsid w:val="00476ECB"/>
    <w:rsid w:val="005F2D20"/>
    <w:rsid w:val="008975EE"/>
    <w:rsid w:val="00944005"/>
    <w:rsid w:val="009A27E9"/>
    <w:rsid w:val="00A125F0"/>
    <w:rsid w:val="00EB2205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2205"/>
  </w:style>
  <w:style w:type="paragraph" w:styleId="Podnoje">
    <w:name w:val="footer"/>
    <w:basedOn w:val="Normal"/>
    <w:link w:val="PodnojeChar"/>
    <w:uiPriority w:val="99"/>
    <w:unhideWhenUsed/>
    <w:rsid w:val="00EB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2205"/>
  </w:style>
  <w:style w:type="paragraph" w:styleId="Tekstbalonia">
    <w:name w:val="Balloon Text"/>
    <w:basedOn w:val="Normal"/>
    <w:link w:val="TekstbaloniaChar"/>
    <w:uiPriority w:val="99"/>
    <w:semiHidden/>
    <w:unhideWhenUsed/>
    <w:rsid w:val="00EB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20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2205"/>
  </w:style>
  <w:style w:type="paragraph" w:styleId="Podnoje">
    <w:name w:val="footer"/>
    <w:basedOn w:val="Normal"/>
    <w:link w:val="PodnojeChar"/>
    <w:uiPriority w:val="99"/>
    <w:unhideWhenUsed/>
    <w:rsid w:val="00EB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2205"/>
  </w:style>
  <w:style w:type="paragraph" w:styleId="Tekstbalonia">
    <w:name w:val="Balloon Text"/>
    <w:basedOn w:val="Normal"/>
    <w:link w:val="TekstbaloniaChar"/>
    <w:uiPriority w:val="99"/>
    <w:semiHidden/>
    <w:unhideWhenUsed/>
    <w:rsid w:val="00EB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20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2</cp:revision>
  <cp:lastPrinted>2019-10-03T09:14:00Z</cp:lastPrinted>
  <dcterms:created xsi:type="dcterms:W3CDTF">2020-03-03T09:22:00Z</dcterms:created>
  <dcterms:modified xsi:type="dcterms:W3CDTF">2020-03-03T09:22:00Z</dcterms:modified>
</cp:coreProperties>
</file>